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FD" w:rsidRDefault="0097158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Tisková zpráva Státního ústavu radiační ochrany</w:t>
      </w:r>
    </w:p>
    <w:p w:rsidR="00285EFD" w:rsidRDefault="00285EF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Ochranu obyvatel České republiky před radiací</w:t>
      </w:r>
      <w:r>
        <w:rPr>
          <w:rFonts w:ascii="Arial" w:eastAsia="Arial" w:hAnsi="Arial" w:cs="Arial"/>
          <w:b/>
          <w:sz w:val="32"/>
          <w:szCs w:val="32"/>
        </w:rPr>
        <w:t xml:space="preserve"> doplní tři nové systémy a zařízení</w:t>
      </w:r>
    </w:p>
    <w:p w:rsidR="00285EFD" w:rsidRDefault="009715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Ionizující </w:t>
      </w:r>
      <w:r>
        <w:rPr>
          <w:rFonts w:ascii="Arial" w:eastAsia="Arial" w:hAnsi="Arial" w:cs="Arial"/>
          <w:sz w:val="24"/>
          <w:szCs w:val="24"/>
        </w:rPr>
        <w:t xml:space="preserve">záření je všude kolem nás, žijeme s ním a přináší nám četné výhody, pokud však překročí určité meze, může přinášet zdravotní riziko. Proto je potřeba chránit obyvatele proti </w:t>
      </w:r>
      <w:r>
        <w:rPr>
          <w:rFonts w:ascii="Arial" w:eastAsia="Arial" w:hAnsi="Arial" w:cs="Arial"/>
          <w:sz w:val="24"/>
          <w:szCs w:val="24"/>
        </w:rPr>
        <w:t>ozáření</w:t>
      </w:r>
      <w:r>
        <w:rPr>
          <w:rFonts w:ascii="Arial" w:eastAsia="Arial" w:hAnsi="Arial" w:cs="Arial"/>
          <w:sz w:val="24"/>
          <w:szCs w:val="24"/>
        </w:rPr>
        <w:t xml:space="preserve">, a to z různých zdrojů a v různých oblastech, </w:t>
      </w:r>
      <w:r>
        <w:rPr>
          <w:rFonts w:ascii="Arial" w:eastAsia="Arial" w:hAnsi="Arial" w:cs="Arial"/>
          <w:b/>
          <w:sz w:val="24"/>
          <w:szCs w:val="24"/>
        </w:rPr>
        <w:t>např. v lékařství, z přírodn</w:t>
      </w:r>
      <w:r>
        <w:rPr>
          <w:rFonts w:ascii="Arial" w:eastAsia="Arial" w:hAnsi="Arial" w:cs="Arial"/>
          <w:b/>
          <w:sz w:val="24"/>
          <w:szCs w:val="24"/>
        </w:rPr>
        <w:t xml:space="preserve">ích zdrojů nebo v případě radiační nehody, havárie. Dnes je bohužel potřeba počítat i s dalšími možnostmi zhoršení bezpečnostní situace z hlediska ochrany obyvatel před </w:t>
      </w:r>
      <w:r>
        <w:rPr>
          <w:rFonts w:ascii="Arial" w:eastAsia="Arial" w:hAnsi="Arial" w:cs="Arial"/>
          <w:b/>
          <w:sz w:val="24"/>
          <w:szCs w:val="24"/>
        </w:rPr>
        <w:t>ionizujícím zářením</w:t>
      </w:r>
      <w:r>
        <w:rPr>
          <w:rFonts w:ascii="Arial" w:eastAsia="Arial" w:hAnsi="Arial" w:cs="Arial"/>
          <w:b/>
          <w:sz w:val="24"/>
          <w:szCs w:val="24"/>
        </w:rPr>
        <w:t xml:space="preserve">, jako jsou </w:t>
      </w:r>
      <w:r>
        <w:rPr>
          <w:rFonts w:ascii="Arial" w:eastAsia="Arial" w:hAnsi="Arial" w:cs="Arial"/>
          <w:b/>
          <w:sz w:val="24"/>
          <w:szCs w:val="24"/>
        </w:rPr>
        <w:t>teroristický útok za použití radioaktivních materiálů neb</w:t>
      </w:r>
      <w:r>
        <w:rPr>
          <w:rFonts w:ascii="Arial" w:eastAsia="Arial" w:hAnsi="Arial" w:cs="Arial"/>
          <w:b/>
          <w:sz w:val="24"/>
          <w:szCs w:val="24"/>
        </w:rPr>
        <w:t xml:space="preserve">o šíření dezinformací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hrozbou následné paniky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85EFD" w:rsidRDefault="0097158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Radiační monitorovací síť České republiky</w:t>
      </w:r>
    </w:p>
    <w:p w:rsidR="00285EFD" w:rsidRDefault="0097158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Skutečný stav ozáření obyvatel pomáhá posuzovat Radiační monitorovací síť </w:t>
      </w:r>
      <w:r>
        <w:rPr>
          <w:rFonts w:ascii="Arial" w:eastAsia="Arial" w:hAnsi="Arial" w:cs="Arial"/>
          <w:sz w:val="24"/>
          <w:szCs w:val="24"/>
        </w:rPr>
        <w:t>ČR</w:t>
      </w:r>
      <w:r>
        <w:rPr>
          <w:rFonts w:ascii="Arial" w:eastAsia="Arial" w:hAnsi="Arial" w:cs="Arial"/>
          <w:sz w:val="24"/>
          <w:szCs w:val="24"/>
        </w:rPr>
        <w:t>, která odborníkům poskytuje pr</w:t>
      </w:r>
      <w:r>
        <w:rPr>
          <w:rFonts w:ascii="Arial" w:eastAsia="Arial" w:hAnsi="Arial" w:cs="Arial"/>
          <w:sz w:val="24"/>
          <w:szCs w:val="24"/>
        </w:rPr>
        <w:t xml:space="preserve">ůběžné </w:t>
      </w:r>
      <w:r>
        <w:rPr>
          <w:rFonts w:ascii="Arial" w:eastAsia="Arial" w:hAnsi="Arial" w:cs="Arial"/>
          <w:sz w:val="24"/>
          <w:szCs w:val="24"/>
        </w:rPr>
        <w:t>informace o aktuální radiační situaci na území ČR, a v případ</w:t>
      </w:r>
      <w:r>
        <w:rPr>
          <w:rFonts w:ascii="Arial" w:eastAsia="Arial" w:hAnsi="Arial" w:cs="Arial"/>
          <w:sz w:val="24"/>
          <w:szCs w:val="24"/>
        </w:rPr>
        <w:t xml:space="preserve">ě potřeby </w:t>
      </w:r>
      <w:r>
        <w:rPr>
          <w:rFonts w:ascii="Arial" w:eastAsia="Arial" w:hAnsi="Arial" w:cs="Arial"/>
          <w:sz w:val="24"/>
          <w:szCs w:val="24"/>
        </w:rPr>
        <w:t>i údaje potřebné pro rozhodování 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zavádění opatření pro snížení nebo odvrácení potenciálního ozáření. Řízením této sítě je pověřen Státní úřad pro jadernou bezpečnost (SÚJB). N</w:t>
      </w:r>
      <w:r>
        <w:rPr>
          <w:rFonts w:ascii="Arial" w:eastAsia="Arial" w:hAnsi="Arial" w:cs="Arial"/>
          <w:sz w:val="24"/>
          <w:szCs w:val="24"/>
        </w:rPr>
        <w:t xml:space="preserve">a vlastním radiačním monitorování se vedle SÚJB, Státního ústavu radiační ochrany, </w:t>
      </w:r>
      <w:proofErr w:type="gramStart"/>
      <w:r>
        <w:rPr>
          <w:rFonts w:ascii="Arial" w:eastAsia="Arial" w:hAnsi="Arial" w:cs="Arial"/>
          <w:sz w:val="24"/>
          <w:szCs w:val="24"/>
        </w:rPr>
        <w:t>v.v.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i. (SÚRO), a </w:t>
      </w:r>
      <w:r>
        <w:rPr>
          <w:rFonts w:ascii="Arial" w:eastAsia="Arial" w:hAnsi="Arial" w:cs="Arial"/>
          <w:sz w:val="24"/>
          <w:szCs w:val="24"/>
        </w:rPr>
        <w:t>provozovatelů</w:t>
      </w:r>
      <w:r>
        <w:rPr>
          <w:rFonts w:ascii="Arial" w:eastAsia="Arial" w:hAnsi="Arial" w:cs="Arial"/>
          <w:sz w:val="24"/>
          <w:szCs w:val="24"/>
        </w:rPr>
        <w:t xml:space="preserve"> jaderných elektráren také podílejí i další rezorty. </w:t>
      </w:r>
    </w:p>
    <w:p w:rsidR="00285EFD" w:rsidRDefault="00285EFD">
      <w:pPr>
        <w:rPr>
          <w:rFonts w:ascii="Arial" w:eastAsia="Arial" w:hAnsi="Arial" w:cs="Arial"/>
          <w:color w:val="D99594"/>
          <w:sz w:val="24"/>
          <w:szCs w:val="24"/>
          <w:highlight w:val="yellow"/>
        </w:rPr>
      </w:pPr>
    </w:p>
    <w:p w:rsidR="00E746F4" w:rsidRDefault="00971582" w:rsidP="00E746F4">
      <w:pPr>
        <w:spacing w:before="100" w:after="10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současné podobě zahrnuje Radiační monitorovací síť ČR </w:t>
      </w:r>
      <w:r>
        <w:rPr>
          <w:rFonts w:ascii="Arial" w:eastAsia="Arial" w:hAnsi="Arial" w:cs="Arial"/>
          <w:sz w:val="24"/>
          <w:szCs w:val="24"/>
        </w:rPr>
        <w:t>(RMS)</w:t>
      </w:r>
      <w:r>
        <w:rPr>
          <w:rFonts w:ascii="Arial" w:eastAsia="Arial" w:hAnsi="Arial" w:cs="Arial"/>
          <w:sz w:val="24"/>
          <w:szCs w:val="24"/>
        </w:rPr>
        <w:t xml:space="preserve"> monitorovací sítě pro zev</w:t>
      </w:r>
      <w:r>
        <w:rPr>
          <w:rFonts w:ascii="Arial" w:eastAsia="Arial" w:hAnsi="Arial" w:cs="Arial"/>
          <w:sz w:val="24"/>
          <w:szCs w:val="24"/>
        </w:rPr>
        <w:t xml:space="preserve">ní a vnitřní ozáření, tvořené monitorovacími místy pokrývajícími území celé ČR. RMS pracuje ve dvou režimech, v tzv. normálním monitorování, (potvrzení stavu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kd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ž se nic </w:t>
      </w:r>
      <w:r w:rsidR="00EA3C79">
        <w:rPr>
          <w:rFonts w:ascii="Arial" w:eastAsia="Arial" w:hAnsi="Arial" w:cs="Arial"/>
          <w:sz w:val="24"/>
          <w:szCs w:val="24"/>
        </w:rPr>
        <w:t xml:space="preserve">neobvyklého </w:t>
      </w:r>
      <w:r>
        <w:rPr>
          <w:rFonts w:ascii="Arial" w:eastAsia="Arial" w:hAnsi="Arial" w:cs="Arial"/>
          <w:sz w:val="24"/>
          <w:szCs w:val="24"/>
        </w:rPr>
        <w:t>neděje</w:t>
      </w:r>
      <w:r>
        <w:rPr>
          <w:rFonts w:ascii="Arial" w:eastAsia="Arial" w:hAnsi="Arial" w:cs="Arial"/>
          <w:sz w:val="24"/>
          <w:szCs w:val="24"/>
        </w:rPr>
        <w:t xml:space="preserve">” a </w:t>
      </w:r>
      <w:r>
        <w:rPr>
          <w:rFonts w:ascii="Arial" w:eastAsia="Arial" w:hAnsi="Arial" w:cs="Arial"/>
          <w:sz w:val="24"/>
          <w:szCs w:val="24"/>
        </w:rPr>
        <w:t>zji</w:t>
      </w:r>
      <w:r>
        <w:rPr>
          <w:rFonts w:ascii="Arial" w:eastAsia="Arial" w:hAnsi="Arial" w:cs="Arial"/>
          <w:sz w:val="24"/>
          <w:szCs w:val="24"/>
        </w:rPr>
        <w:t>štění případné odchylk</w:t>
      </w:r>
      <w:r>
        <w:rPr>
          <w:rFonts w:ascii="Arial" w:eastAsia="Arial" w:hAnsi="Arial" w:cs="Arial"/>
          <w:sz w:val="24"/>
          <w:szCs w:val="24"/>
        </w:rPr>
        <w:t>y), a v tzv. havarijním monitorování, do něhož RMS přechází za nehodové expoziční situace (</w:t>
      </w:r>
      <w:r w:rsidR="00EA3C79">
        <w:rPr>
          <w:rFonts w:ascii="Arial" w:eastAsia="Arial" w:hAnsi="Arial" w:cs="Arial"/>
          <w:sz w:val="24"/>
          <w:szCs w:val="24"/>
        </w:rPr>
        <w:t xml:space="preserve">za dobu existence </w:t>
      </w:r>
      <w:r>
        <w:rPr>
          <w:rFonts w:ascii="Arial" w:eastAsia="Arial" w:hAnsi="Arial" w:cs="Arial"/>
          <w:sz w:val="24"/>
          <w:szCs w:val="24"/>
        </w:rPr>
        <w:t xml:space="preserve">k tomu </w:t>
      </w:r>
      <w:r w:rsidR="00EA3C79">
        <w:rPr>
          <w:rFonts w:ascii="Arial" w:eastAsia="Arial" w:hAnsi="Arial" w:cs="Arial"/>
          <w:sz w:val="24"/>
          <w:szCs w:val="24"/>
        </w:rPr>
        <w:t xml:space="preserve">ještě </w:t>
      </w:r>
      <w:r>
        <w:rPr>
          <w:rFonts w:ascii="Arial" w:eastAsia="Arial" w:hAnsi="Arial" w:cs="Arial"/>
          <w:sz w:val="24"/>
          <w:szCs w:val="24"/>
        </w:rPr>
        <w:t xml:space="preserve">nedošlo). </w:t>
      </w:r>
      <w:r w:rsidR="00E746F4">
        <w:rPr>
          <w:rFonts w:ascii="Arial" w:eastAsia="Arial" w:hAnsi="Arial" w:cs="Arial"/>
          <w:sz w:val="24"/>
          <w:szCs w:val="24"/>
        </w:rPr>
        <w:t xml:space="preserve">Monitoruje se vnější ozáření z přírodních i umělých zdrojů - síť včasného zjištění, síť termoluminiscenčních dozimetrů, mobilní skupiny, i vnitřní ozáření - </w:t>
      </w:r>
      <w:r w:rsidR="007403B6">
        <w:rPr>
          <w:rFonts w:ascii="Arial" w:eastAsia="Arial" w:hAnsi="Arial" w:cs="Arial"/>
          <w:sz w:val="24"/>
          <w:szCs w:val="24"/>
        </w:rPr>
        <w:t>radioaktivní látky</w:t>
      </w:r>
      <w:r w:rsidR="00E746F4">
        <w:rPr>
          <w:rFonts w:ascii="Arial" w:eastAsia="Arial" w:hAnsi="Arial" w:cs="Arial"/>
          <w:sz w:val="24"/>
          <w:szCs w:val="24"/>
        </w:rPr>
        <w:t xml:space="preserve"> v potravním řetězci (vzorky pitné voda, potravin a krmiv, atd.) a </w:t>
      </w:r>
      <w:r w:rsidR="007403B6">
        <w:rPr>
          <w:rFonts w:ascii="Arial" w:eastAsia="Arial" w:hAnsi="Arial" w:cs="Arial"/>
          <w:sz w:val="24"/>
          <w:szCs w:val="24"/>
        </w:rPr>
        <w:t>radioaktivní látky</w:t>
      </w:r>
      <w:r w:rsidR="00E746F4">
        <w:rPr>
          <w:rFonts w:ascii="Arial" w:eastAsia="Arial" w:hAnsi="Arial" w:cs="Arial"/>
          <w:sz w:val="24"/>
          <w:szCs w:val="24"/>
        </w:rPr>
        <w:t xml:space="preserve"> v lidském těle (přímé měření na celotělovém počítači a nepřímé měření</w:t>
      </w:r>
      <w:r w:rsidR="00EA3C79">
        <w:rPr>
          <w:rFonts w:ascii="Arial" w:eastAsia="Arial" w:hAnsi="Arial" w:cs="Arial"/>
          <w:sz w:val="24"/>
          <w:szCs w:val="24"/>
        </w:rPr>
        <w:t>m</w:t>
      </w:r>
      <w:r w:rsidR="00E746F4">
        <w:rPr>
          <w:rFonts w:ascii="Arial" w:eastAsia="Arial" w:hAnsi="Arial" w:cs="Arial"/>
          <w:sz w:val="24"/>
          <w:szCs w:val="24"/>
        </w:rPr>
        <w:t xml:space="preserve"> exkret). Bližší informace o rozsahu měření a jeho výsledcích </w:t>
      </w:r>
      <w:r w:rsidR="00483769">
        <w:rPr>
          <w:rFonts w:ascii="Arial" w:eastAsia="Arial" w:hAnsi="Arial" w:cs="Arial"/>
          <w:sz w:val="24"/>
          <w:szCs w:val="24"/>
        </w:rPr>
        <w:t xml:space="preserve">lze najít na </w:t>
      </w:r>
      <w:r w:rsidR="00E746F4">
        <w:rPr>
          <w:rFonts w:ascii="Arial" w:eastAsia="Arial" w:hAnsi="Arial" w:cs="Arial"/>
          <w:sz w:val="24"/>
          <w:szCs w:val="24"/>
        </w:rPr>
        <w:t>webov</w:t>
      </w:r>
      <w:r w:rsidR="00483769">
        <w:rPr>
          <w:rFonts w:ascii="Arial" w:eastAsia="Arial" w:hAnsi="Arial" w:cs="Arial"/>
          <w:sz w:val="24"/>
          <w:szCs w:val="24"/>
        </w:rPr>
        <w:t>ých</w:t>
      </w:r>
      <w:r w:rsidR="00E746F4">
        <w:rPr>
          <w:rFonts w:ascii="Arial" w:eastAsia="Arial" w:hAnsi="Arial" w:cs="Arial"/>
          <w:sz w:val="24"/>
          <w:szCs w:val="24"/>
        </w:rPr>
        <w:t xml:space="preserve"> stránk</w:t>
      </w:r>
      <w:r w:rsidR="00483769">
        <w:rPr>
          <w:rFonts w:ascii="Arial" w:eastAsia="Arial" w:hAnsi="Arial" w:cs="Arial"/>
          <w:sz w:val="24"/>
          <w:szCs w:val="24"/>
        </w:rPr>
        <w:t xml:space="preserve">ách </w:t>
      </w:r>
      <w:r w:rsidR="00E746F4">
        <w:rPr>
          <w:rFonts w:ascii="Arial" w:eastAsia="Arial" w:hAnsi="Arial" w:cs="Arial"/>
          <w:sz w:val="24"/>
          <w:szCs w:val="24"/>
        </w:rPr>
        <w:t xml:space="preserve">SÚJB </w:t>
      </w:r>
      <w:hyperlink r:id="rId8" w:history="1">
        <w:r w:rsidR="008D4971" w:rsidRPr="00727698">
          <w:rPr>
            <w:rStyle w:val="Hypertextovodkaz"/>
            <w:rFonts w:ascii="Arial" w:eastAsia="Arial" w:hAnsi="Arial" w:cs="Arial"/>
            <w:sz w:val="24"/>
            <w:szCs w:val="24"/>
          </w:rPr>
          <w:t>https://www.sujb.cz/aplikace/monras/?lng=cs_CZ</w:t>
        </w:r>
      </w:hyperlink>
      <w:r w:rsidR="008D4971">
        <w:rPr>
          <w:rFonts w:ascii="Arial" w:eastAsia="Arial" w:hAnsi="Arial" w:cs="Arial"/>
          <w:sz w:val="24"/>
          <w:szCs w:val="24"/>
        </w:rPr>
        <w:t xml:space="preserve"> a</w:t>
      </w:r>
      <w:r w:rsidR="00EA3C79">
        <w:rPr>
          <w:rFonts w:ascii="Arial" w:eastAsia="Arial" w:hAnsi="Arial" w:cs="Arial"/>
          <w:sz w:val="24"/>
          <w:szCs w:val="24"/>
        </w:rPr>
        <w:t xml:space="preserve"> SÚRO </w:t>
      </w:r>
      <w:hyperlink r:id="rId9" w:history="1">
        <w:r w:rsidR="008D4971" w:rsidRPr="00EA3C79">
          <w:rPr>
            <w:rStyle w:val="Hypertextovodkaz"/>
            <w:rFonts w:ascii="Arial" w:eastAsia="Arial" w:hAnsi="Arial" w:cs="Arial"/>
            <w:sz w:val="24"/>
            <w:szCs w:val="24"/>
          </w:rPr>
          <w:t>http://www.suro.cz/cz/rms</w:t>
        </w:r>
      </w:hyperlink>
      <w:r w:rsidR="00A910B8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85EFD" w:rsidRDefault="00285EFD" w:rsidP="00E746F4">
      <w:pPr>
        <w:pBdr>
          <w:top w:val="nil"/>
        </w:pBdr>
        <w:rPr>
          <w:rFonts w:ascii="Arial" w:eastAsia="Arial" w:hAnsi="Arial" w:cs="Arial"/>
          <w:color w:val="D99594"/>
          <w:sz w:val="24"/>
          <w:szCs w:val="24"/>
          <w:highlight w:val="yellow"/>
        </w:rPr>
      </w:pPr>
    </w:p>
    <w:p w:rsidR="00285EFD" w:rsidRDefault="00971582" w:rsidP="00E746F4">
      <w:pPr>
        <w:pBdr>
          <w:top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V posledních letech </w:t>
      </w:r>
      <w:r>
        <w:rPr>
          <w:rFonts w:ascii="Arial" w:eastAsia="Arial" w:hAnsi="Arial" w:cs="Arial"/>
          <w:sz w:val="24"/>
          <w:szCs w:val="24"/>
        </w:rPr>
        <w:t xml:space="preserve">odborníci z monitorovací sítě </w:t>
      </w:r>
      <w:r>
        <w:rPr>
          <w:rFonts w:ascii="Arial" w:eastAsia="Arial" w:hAnsi="Arial" w:cs="Arial"/>
          <w:sz w:val="24"/>
          <w:szCs w:val="24"/>
        </w:rPr>
        <w:t>několikrát</w:t>
      </w:r>
      <w:r>
        <w:rPr>
          <w:rFonts w:ascii="Arial" w:eastAsia="Arial" w:hAnsi="Arial" w:cs="Arial"/>
          <w:sz w:val="24"/>
          <w:szCs w:val="24"/>
        </w:rPr>
        <w:t xml:space="preserve"> upozornili na výskyt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malého množství </w:t>
      </w:r>
      <w:r w:rsidR="007403B6">
        <w:rPr>
          <w:rFonts w:ascii="Arial" w:eastAsia="Arial" w:hAnsi="Arial" w:cs="Arial"/>
          <w:sz w:val="24"/>
          <w:szCs w:val="24"/>
        </w:rPr>
        <w:t>radioaktivní</w:t>
      </w:r>
      <w:r w:rsidR="007403B6">
        <w:rPr>
          <w:rFonts w:ascii="Arial" w:eastAsia="Arial" w:hAnsi="Arial" w:cs="Arial"/>
          <w:sz w:val="24"/>
          <w:szCs w:val="24"/>
        </w:rPr>
        <w:t>ch</w:t>
      </w:r>
      <w:r w:rsidR="007403B6">
        <w:rPr>
          <w:rFonts w:ascii="Arial" w:eastAsia="Arial" w:hAnsi="Arial" w:cs="Arial"/>
          <w:sz w:val="24"/>
          <w:szCs w:val="24"/>
        </w:rPr>
        <w:t xml:space="preserve"> lát</w:t>
      </w:r>
      <w:r w:rsidR="007403B6">
        <w:rPr>
          <w:rFonts w:ascii="Arial" w:eastAsia="Arial" w:hAnsi="Arial" w:cs="Arial"/>
          <w:sz w:val="24"/>
          <w:szCs w:val="24"/>
        </w:rPr>
        <w:t>e</w:t>
      </w:r>
      <w:r w:rsidR="007403B6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 v ovzduší.  Vždy se ale jednalo o množství, jejichž působení bylo ve srovnání s radiačními vlivy běžně se vyskytujícími v každodenním životě zcela zanedbatelné. Zaznamenány byly například následky havárie ve Fukušimě, únik látek ze závodu na výrobu r</w:t>
      </w:r>
      <w:r>
        <w:rPr>
          <w:rFonts w:ascii="Arial" w:eastAsia="Arial" w:hAnsi="Arial" w:cs="Arial"/>
          <w:sz w:val="24"/>
          <w:szCs w:val="24"/>
        </w:rPr>
        <w:t xml:space="preserve">adiofarmak v Maďarsku, nebo letos zaznamenaný výskyt </w:t>
      </w:r>
      <w:r>
        <w:rPr>
          <w:rFonts w:ascii="Arial" w:eastAsia="Arial" w:hAnsi="Arial" w:cs="Arial"/>
          <w:sz w:val="24"/>
          <w:szCs w:val="24"/>
        </w:rPr>
        <w:t>radioaktivního jódu</w:t>
      </w:r>
      <w:r>
        <w:rPr>
          <w:rFonts w:ascii="Arial" w:eastAsia="Arial" w:hAnsi="Arial" w:cs="Arial"/>
          <w:sz w:val="24"/>
          <w:szCs w:val="24"/>
        </w:rPr>
        <w:t xml:space="preserve"> v ovzduší.</w:t>
      </w:r>
    </w:p>
    <w:p w:rsidR="00285EFD" w:rsidRDefault="00285EFD">
      <w:pPr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Dobré přirovnání pro citlivost</w:t>
      </w:r>
      <w:r>
        <w:rPr>
          <w:rFonts w:ascii="Arial" w:eastAsia="Arial" w:hAnsi="Arial" w:cs="Arial"/>
          <w:sz w:val="24"/>
          <w:szCs w:val="24"/>
        </w:rPr>
        <w:t xml:space="preserve"> dnešních měřících systémů uvádí RNDr. Vladimír Wagner, CSc. z Ústavu jaderné fyziky Akademie věd ČR:</w:t>
      </w:r>
      <w:r>
        <w:rPr>
          <w:rFonts w:ascii="Arial" w:eastAsia="Arial" w:hAnsi="Arial" w:cs="Arial"/>
          <w:sz w:val="24"/>
          <w:szCs w:val="24"/>
        </w:rPr>
        <w:t xml:space="preserve"> “</w:t>
      </w:r>
      <w:r>
        <w:rPr>
          <w:rFonts w:ascii="Arial" w:eastAsia="Arial" w:hAnsi="Arial" w:cs="Arial"/>
          <w:sz w:val="24"/>
          <w:szCs w:val="24"/>
        </w:rPr>
        <w:t xml:space="preserve">Zaznamenání zvýšeného </w:t>
      </w:r>
      <w:r>
        <w:rPr>
          <w:rFonts w:ascii="Arial" w:eastAsia="Arial" w:hAnsi="Arial" w:cs="Arial"/>
          <w:sz w:val="24"/>
          <w:szCs w:val="24"/>
        </w:rPr>
        <w:lastRenderedPageBreak/>
        <w:t>výskytu radioaktivního jódu v ovzduší koncem letošního ledna</w:t>
      </w:r>
      <w:r>
        <w:rPr>
          <w:rFonts w:ascii="Arial" w:eastAsia="Arial" w:hAnsi="Arial" w:cs="Arial"/>
          <w:sz w:val="24"/>
          <w:szCs w:val="24"/>
        </w:rPr>
        <w:t xml:space="preserve"> je podobné tomu, jako </w:t>
      </w:r>
      <w:r>
        <w:rPr>
          <w:rFonts w:ascii="Arial" w:eastAsia="Arial" w:hAnsi="Arial" w:cs="Arial"/>
          <w:sz w:val="24"/>
          <w:szCs w:val="24"/>
        </w:rPr>
        <w:t>kdybychom v Praze změřili, že si někdo v Kralupech vykouřil cigaretu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“</w:t>
      </w:r>
    </w:p>
    <w:p w:rsidR="00285EFD" w:rsidRDefault="00285EFD">
      <w:pPr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Rozšíření možností monitorování radiace a realizované výzkumné projekty</w:t>
      </w:r>
    </w:p>
    <w:p w:rsidR="00285EFD" w:rsidRDefault="0097158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„V blízké době se možnosti </w:t>
      </w:r>
      <w:r>
        <w:rPr>
          <w:rFonts w:ascii="Arial" w:eastAsia="Arial" w:hAnsi="Arial" w:cs="Arial"/>
          <w:sz w:val="24"/>
          <w:szCs w:val="24"/>
        </w:rPr>
        <w:t xml:space="preserve">monitorování </w:t>
      </w:r>
      <w:r>
        <w:rPr>
          <w:rFonts w:ascii="Arial" w:eastAsia="Arial" w:hAnsi="Arial" w:cs="Arial"/>
          <w:sz w:val="24"/>
          <w:szCs w:val="24"/>
        </w:rPr>
        <w:t xml:space="preserve">rozšíří o tři nové systémy a zařízení, které vyvinuli odborníci ze Státního ústavu radiační ochrany, v.v.i. (SÚRO) na základě programů bezpečnostního výzkumu Ministerstva vnitra ČR ve </w:t>
      </w:r>
      <w:proofErr w:type="gramStart"/>
      <w:r>
        <w:rPr>
          <w:rFonts w:ascii="Arial" w:eastAsia="Arial" w:hAnsi="Arial" w:cs="Arial"/>
          <w:sz w:val="24"/>
          <w:szCs w:val="24"/>
        </w:rPr>
        <w:t>spolupráci s SÚJB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ve spoluprác</w:t>
      </w:r>
      <w:r>
        <w:rPr>
          <w:rFonts w:ascii="Arial" w:eastAsia="Arial" w:hAnsi="Arial" w:cs="Arial"/>
          <w:sz w:val="24"/>
          <w:szCs w:val="24"/>
        </w:rPr>
        <w:t>i s če</w:t>
      </w:r>
      <w:r>
        <w:rPr>
          <w:rFonts w:ascii="Arial" w:eastAsia="Arial" w:hAnsi="Arial" w:cs="Arial"/>
          <w:sz w:val="24"/>
          <w:szCs w:val="24"/>
        </w:rPr>
        <w:t>skými firmami. Dva projekty jsou již ve fázi postupného zavádění do praxe, třetí ve fázi pilotních testů</w:t>
      </w:r>
      <w:r>
        <w:rPr>
          <w:rFonts w:ascii="Arial" w:eastAsia="Arial" w:hAnsi="Arial" w:cs="Arial"/>
          <w:sz w:val="24"/>
          <w:szCs w:val="24"/>
        </w:rPr>
        <w:t>,“ říká Ing. Jiří Hůlka, náměs</w:t>
      </w:r>
      <w:r>
        <w:rPr>
          <w:rFonts w:ascii="Arial" w:eastAsia="Arial" w:hAnsi="Arial" w:cs="Arial"/>
          <w:sz w:val="24"/>
          <w:szCs w:val="24"/>
        </w:rPr>
        <w:t>tek ředitele SÚ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z w:val="24"/>
          <w:szCs w:val="24"/>
        </w:rPr>
        <w:t>pro vědu a výzkum, a dodává</w:t>
      </w:r>
      <w:r>
        <w:rPr>
          <w:rFonts w:ascii="Arial" w:eastAsia="Arial" w:hAnsi="Arial" w:cs="Arial"/>
          <w:sz w:val="24"/>
          <w:szCs w:val="24"/>
        </w:rPr>
        <w:t xml:space="preserve"> „Určitě ještě dále vylepší už dnes </w:t>
      </w:r>
      <w:r>
        <w:rPr>
          <w:rFonts w:ascii="Arial" w:eastAsia="Arial" w:hAnsi="Arial" w:cs="Arial"/>
          <w:sz w:val="24"/>
          <w:szCs w:val="24"/>
        </w:rPr>
        <w:t xml:space="preserve">vysokou úroveň včasného zjištění </w:t>
      </w:r>
      <w:r>
        <w:rPr>
          <w:rFonts w:ascii="Arial" w:eastAsia="Arial" w:hAnsi="Arial" w:cs="Arial"/>
          <w:sz w:val="24"/>
          <w:szCs w:val="24"/>
        </w:rPr>
        <w:t>nějaké mimořádné radiační situace v České republice, jejího následného monitorování a hodnocení</w:t>
      </w:r>
      <w:r>
        <w:rPr>
          <w:rFonts w:ascii="Arial" w:eastAsia="Arial" w:hAnsi="Arial" w:cs="Arial"/>
          <w:sz w:val="24"/>
          <w:szCs w:val="24"/>
        </w:rPr>
        <w:t>“.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Nové projekty </w:t>
      </w:r>
    </w:p>
    <w:p w:rsidR="00285EFD" w:rsidRDefault="0097158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(základní informace, podrobnější data jsou zařazena v přílohách tiskové zprávy):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Projekt RAMESIS: Občanská radiační měřicí síť </w:t>
      </w: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určená pro občany, školy, a další instituce k zajištění včasné informovanosti a bezpečnosti občanů</w:t>
      </w:r>
    </w:p>
    <w:p w:rsidR="00285EFD" w:rsidRDefault="00285EFD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Nově budovanou „občanskou“ měřicí síť bude tvořit propojený </w:t>
      </w:r>
      <w:proofErr w:type="gramStart"/>
      <w:r>
        <w:rPr>
          <w:rFonts w:ascii="Arial" w:eastAsia="Arial" w:hAnsi="Arial" w:cs="Arial"/>
          <w:sz w:val="24"/>
          <w:szCs w:val="24"/>
        </w:rPr>
        <w:t>systém  cca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až stovky stacionárních </w:t>
      </w:r>
      <w:r>
        <w:rPr>
          <w:rFonts w:ascii="Arial" w:eastAsia="Arial" w:hAnsi="Arial" w:cs="Arial"/>
          <w:sz w:val="24"/>
          <w:szCs w:val="24"/>
        </w:rPr>
        <w:t>měřicích přístrojů</w:t>
      </w:r>
      <w:r w:rsidRPr="00EA3C79">
        <w:rPr>
          <w:rFonts w:ascii="Arial" w:eastAsia="Arial" w:hAnsi="Arial" w:cs="Arial"/>
          <w:color w:val="auto"/>
          <w:sz w:val="24"/>
          <w:szCs w:val="24"/>
        </w:rPr>
        <w:t>,</w:t>
      </w:r>
      <w:r w:rsidR="00EA3C7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které mohou být umístěny na budovách, </w:t>
      </w:r>
      <w:r>
        <w:rPr>
          <w:rFonts w:ascii="Arial" w:eastAsia="Arial" w:hAnsi="Arial" w:cs="Arial"/>
          <w:sz w:val="24"/>
          <w:szCs w:val="24"/>
        </w:rPr>
        <w:t>a několika desítek přístrojů pro mobilní</w:t>
      </w:r>
      <w:r>
        <w:rPr>
          <w:rFonts w:ascii="Arial" w:eastAsia="Arial" w:hAnsi="Arial" w:cs="Arial"/>
          <w:sz w:val="24"/>
          <w:szCs w:val="24"/>
        </w:rPr>
        <w:t xml:space="preserve"> monitorování, které mohou být umístěny např. v dopravních prostředcích (automobil, moto/kolo atd.), ale i nošeny osobami pro pěší detailní proměřování vybrané oblast, a měřit tak radiační situaci, kdekoli to bude </w:t>
      </w:r>
      <w:r>
        <w:rPr>
          <w:rFonts w:ascii="Arial" w:eastAsia="Arial" w:hAnsi="Arial" w:cs="Arial"/>
          <w:sz w:val="24"/>
          <w:szCs w:val="24"/>
        </w:rPr>
        <w:t>zapotřebí. Získaná data nejen doplní informace zís</w:t>
      </w:r>
      <w:r w:rsidR="00EA3C79">
        <w:rPr>
          <w:rFonts w:ascii="Arial" w:eastAsia="Arial" w:hAnsi="Arial" w:cs="Arial"/>
          <w:sz w:val="24"/>
          <w:szCs w:val="24"/>
        </w:rPr>
        <w:t>kávané Radiační monitorovací sítí</w:t>
      </w:r>
      <w:r>
        <w:rPr>
          <w:rFonts w:ascii="Arial" w:eastAsia="Arial" w:hAnsi="Arial" w:cs="Arial"/>
          <w:sz w:val="24"/>
          <w:szCs w:val="24"/>
        </w:rPr>
        <w:t xml:space="preserve"> České republiky, ale současně umožní i občanům, aby bezprostředně znali aktuální radiační situaci ve svém okolí. Součástí projektu je i poskytnutí měřicích přístrojů občanům</w:t>
      </w:r>
      <w:r>
        <w:rPr>
          <w:rFonts w:ascii="Arial" w:eastAsia="Arial" w:hAnsi="Arial" w:cs="Arial"/>
          <w:sz w:val="24"/>
          <w:szCs w:val="24"/>
        </w:rPr>
        <w:t>, školám a dalším institucím (dobrovolní hasiči, skauti, domy techniky mládeže apod.), aby se mohli přímo podílet na měření radiace ve svém okolí i předávat výsledky měření na centrální pracoviště měřicí sítě (</w:t>
      </w:r>
      <w:proofErr w:type="gramStart"/>
      <w:r>
        <w:rPr>
          <w:rFonts w:ascii="Arial" w:eastAsia="Arial" w:hAnsi="Arial" w:cs="Arial"/>
          <w:sz w:val="24"/>
          <w:szCs w:val="24"/>
        </w:rPr>
        <w:t>provozované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SÚRO) ke zveřejnění na webu projek</w:t>
      </w:r>
      <w:r>
        <w:rPr>
          <w:rFonts w:ascii="Arial" w:eastAsia="Arial" w:hAnsi="Arial" w:cs="Arial"/>
          <w:sz w:val="24"/>
          <w:szCs w:val="24"/>
        </w:rPr>
        <w:t>tu na mapách.</w:t>
      </w:r>
    </w:p>
    <w:p w:rsidR="00285EFD" w:rsidRDefault="00285EFD">
      <w:pPr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Tato síť také dokáže ukázat místa s </w:t>
      </w:r>
      <w:proofErr w:type="gramStart"/>
      <w:r>
        <w:rPr>
          <w:rFonts w:ascii="Arial" w:eastAsia="Arial" w:hAnsi="Arial" w:cs="Arial"/>
          <w:sz w:val="24"/>
          <w:szCs w:val="24"/>
        </w:rPr>
        <w:t>vyšší</w:t>
      </w:r>
      <w:r w:rsidR="007403B6"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úrovní přírodní radioaktivit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z w:val="24"/>
          <w:szCs w:val="24"/>
        </w:rPr>
        <w:t xml:space="preserve"> Například i to z jakých materiálů jsou </w:t>
      </w:r>
      <w:r>
        <w:rPr>
          <w:rFonts w:ascii="Arial" w:eastAsia="Arial" w:hAnsi="Arial" w:cs="Arial"/>
          <w:sz w:val="24"/>
          <w:szCs w:val="24"/>
        </w:rPr>
        <w:t>zhotov</w:t>
      </w:r>
      <w:r>
        <w:rPr>
          <w:rFonts w:ascii="Arial" w:eastAsia="Arial" w:hAnsi="Arial" w:cs="Arial"/>
          <w:sz w:val="24"/>
          <w:szCs w:val="24"/>
        </w:rPr>
        <w:t xml:space="preserve">eny silnice, </w:t>
      </w:r>
      <w:r>
        <w:rPr>
          <w:rFonts w:ascii="Arial" w:eastAsia="Arial" w:hAnsi="Arial" w:cs="Arial"/>
          <w:sz w:val="24"/>
          <w:szCs w:val="24"/>
        </w:rPr>
        <w:t>- např.</w:t>
      </w:r>
      <w:r>
        <w:rPr>
          <w:rFonts w:ascii="Arial" w:eastAsia="Arial" w:hAnsi="Arial" w:cs="Arial"/>
          <w:sz w:val="24"/>
          <w:szCs w:val="24"/>
        </w:rPr>
        <w:t xml:space="preserve"> žul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á dlažba má jin</w:t>
      </w:r>
      <w:r w:rsidR="007403B6"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403B6">
        <w:rPr>
          <w:rFonts w:ascii="Arial" w:eastAsia="Arial" w:hAnsi="Arial" w:cs="Arial"/>
          <w:sz w:val="24"/>
          <w:szCs w:val="24"/>
        </w:rPr>
        <w:t>radio</w:t>
      </w:r>
      <w:r>
        <w:rPr>
          <w:rFonts w:ascii="Arial" w:eastAsia="Arial" w:hAnsi="Arial" w:cs="Arial"/>
          <w:sz w:val="24"/>
          <w:szCs w:val="24"/>
        </w:rPr>
        <w:t xml:space="preserve">aktivitu než asfalt. 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vše </w:t>
      </w:r>
      <w:r>
        <w:rPr>
          <w:rFonts w:ascii="Arial" w:eastAsia="Arial" w:hAnsi="Arial" w:cs="Arial"/>
          <w:sz w:val="24"/>
          <w:szCs w:val="24"/>
        </w:rPr>
        <w:t>by m</w:t>
      </w:r>
      <w:r>
        <w:rPr>
          <w:rFonts w:ascii="Arial" w:eastAsia="Arial" w:hAnsi="Arial" w:cs="Arial"/>
          <w:sz w:val="24"/>
          <w:szCs w:val="24"/>
        </w:rPr>
        <w:t>oh</w:t>
      </w:r>
      <w:r>
        <w:rPr>
          <w:rFonts w:ascii="Arial" w:eastAsia="Arial" w:hAnsi="Arial" w:cs="Arial"/>
          <w:sz w:val="24"/>
          <w:szCs w:val="24"/>
        </w:rPr>
        <w:t>lo pomoci</w:t>
      </w:r>
      <w:r>
        <w:rPr>
          <w:rFonts w:ascii="Arial" w:eastAsia="Arial" w:hAnsi="Arial" w:cs="Arial"/>
          <w:sz w:val="24"/>
          <w:szCs w:val="24"/>
        </w:rPr>
        <w:t xml:space="preserve"> omezit šíření falešných zpráv (</w:t>
      </w:r>
      <w:proofErr w:type="spellStart"/>
      <w:r>
        <w:rPr>
          <w:rFonts w:ascii="Arial" w:eastAsia="Arial" w:hAnsi="Arial" w:cs="Arial"/>
          <w:sz w:val="24"/>
          <w:szCs w:val="24"/>
        </w:rPr>
        <w:t>hoaxů</w:t>
      </w:r>
      <w:proofErr w:type="spellEnd"/>
      <w:r>
        <w:rPr>
          <w:rFonts w:ascii="Arial" w:eastAsia="Arial" w:hAnsi="Arial" w:cs="Arial"/>
          <w:sz w:val="24"/>
          <w:szCs w:val="24"/>
        </w:rPr>
        <w:t>) o smyšleném radioaktivním ohrožení, protože si veřejnost bude moci snadno ověřit na webu aktuální situaci v dané oblasti.</w:t>
      </w:r>
    </w:p>
    <w:p w:rsidR="00285EFD" w:rsidRDefault="00971582" w:rsidP="00872E58">
      <w:pPr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Význam sítě RAMESIS je zřejmý především v případě potenciální větší nehody jaderného zařízení, případně teroristického útoku s využitím radioaktivních materiálů, kdy její využití umožní rychlé získání základní informace o radiační situaci na celém území st</w:t>
      </w:r>
      <w:r>
        <w:rPr>
          <w:rFonts w:ascii="Arial" w:eastAsia="Arial" w:hAnsi="Arial" w:cs="Arial"/>
          <w:sz w:val="24"/>
          <w:szCs w:val="24"/>
        </w:rPr>
        <w:t xml:space="preserve">átu a efektivní řízení nasazování profesionálních měřicích týmů RMS.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</w:p>
    <w:p w:rsidR="00285EFD" w:rsidRDefault="009715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Nízkonákladový pasivní dozimetr pro hodnocení externího ozáření osob</w:t>
      </w:r>
    </w:p>
    <w:p w:rsidR="00285EFD" w:rsidRDefault="00285EFD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08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rámci tohoto projektu se podařilo vyvinout jednoduchý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nízkonákladový dozimetr umožňující vyhodnocení osobního oz</w:t>
      </w:r>
      <w:r>
        <w:rPr>
          <w:rFonts w:ascii="Arial" w:eastAsia="Arial" w:hAnsi="Arial" w:cs="Arial"/>
          <w:sz w:val="24"/>
          <w:szCs w:val="24"/>
        </w:rPr>
        <w:t xml:space="preserve">áření. </w:t>
      </w: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Nový dozimetr je 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 plastov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pouzdro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obsahující běžnou kuchyňskou sůl, jež při kontaktu s ionizujícím zářením vykazuje luminiscenci, kterou lze snadno v laboratoři vyvolat a vyhodnotit. Z množství uvolněného světla lze vypočítat dávku záření.</w:t>
      </w:r>
    </w:p>
    <w:p w:rsidR="00285EFD" w:rsidRDefault="00285EF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</w:t>
      </w:r>
      <w:r>
        <w:rPr>
          <w:rFonts w:ascii="Arial" w:eastAsia="Arial" w:hAnsi="Arial" w:cs="Arial"/>
          <w:sz w:val="24"/>
          <w:szCs w:val="24"/>
        </w:rPr>
        <w:t>případech radiačních nehod nebo krizových situací spojených se zlovolným zneužitím radioaktivních látek (terorismus) totiž může dojít k závažnému ozáření obyvatel i zasahujících osob (policie, hasiči, záchranáři). Většina z nich však není vybavena osobními</w:t>
      </w:r>
      <w:r>
        <w:rPr>
          <w:rFonts w:ascii="Arial" w:eastAsia="Arial" w:hAnsi="Arial" w:cs="Arial"/>
          <w:sz w:val="24"/>
          <w:szCs w:val="24"/>
        </w:rPr>
        <w:t xml:space="preserve"> dozimetry, které by umožnily stanovit osobní dávku, jejíž znalost je jedním ze základních požadavků pro účinné třídění zasažených osob vyžadujících následně adekvátní lékařskou péči.  Pořízení a provoz obvyklého dozimetru stojí tisíce</w:t>
      </w:r>
      <w:r>
        <w:rPr>
          <w:rFonts w:ascii="Arial" w:eastAsia="Arial" w:hAnsi="Arial" w:cs="Arial"/>
          <w:sz w:val="24"/>
          <w:szCs w:val="24"/>
        </w:rPr>
        <w:t xml:space="preserve"> až desetitisíce koru</w:t>
      </w:r>
      <w:r>
        <w:rPr>
          <w:rFonts w:ascii="Arial" w:eastAsia="Arial" w:hAnsi="Arial" w:cs="Arial"/>
          <w:sz w:val="24"/>
          <w:szCs w:val="24"/>
        </w:rPr>
        <w:t>n, takže je jím obvykle vybaven pouze jeden pracovník z týmu, který provádí prvotní průzkum. Pra</w:t>
      </w:r>
      <w:r>
        <w:rPr>
          <w:rFonts w:ascii="Arial" w:eastAsia="Arial" w:hAnsi="Arial" w:cs="Arial"/>
          <w:sz w:val="24"/>
          <w:szCs w:val="24"/>
        </w:rPr>
        <w:t xml:space="preserve">covníkům </w:t>
      </w:r>
      <w:proofErr w:type="gramStart"/>
      <w:r>
        <w:rPr>
          <w:rFonts w:ascii="Arial" w:eastAsia="Arial" w:hAnsi="Arial" w:cs="Arial"/>
          <w:sz w:val="24"/>
          <w:szCs w:val="24"/>
        </w:rPr>
        <w:t>SÚRO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eastAsia="Arial" w:hAnsi="Arial" w:cs="Arial"/>
          <w:sz w:val="24"/>
          <w:szCs w:val="24"/>
        </w:rPr>
        <w:t>podařilo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zkonstruovat dozimetr, který rovněž umožňuje měřit míru ozáření, ale stojí pouhé procento obvyklé ceny.</w:t>
      </w:r>
    </w:p>
    <w:p w:rsidR="00285EFD" w:rsidRDefault="00285EFD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Vyhodnocení možného ozáření dobrovolných hasičů a celníků</w:t>
      </w:r>
    </w:p>
    <w:p w:rsidR="00285EFD" w:rsidRDefault="00971582">
      <w:pPr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Velký praktický význam může mít vyvinutý dozimetr i pro zjištění individuální dávky </w:t>
      </w:r>
      <w:r>
        <w:rPr>
          <w:rFonts w:ascii="Arial" w:eastAsia="Arial" w:hAnsi="Arial" w:cs="Arial"/>
          <w:sz w:val="24"/>
          <w:szCs w:val="24"/>
        </w:rPr>
        <w:t xml:space="preserve">hasičů </w:t>
      </w:r>
      <w:r w:rsidR="00FE0B6A">
        <w:rPr>
          <w:rFonts w:ascii="Arial" w:eastAsia="Arial" w:hAnsi="Arial" w:cs="Arial"/>
          <w:sz w:val="24"/>
          <w:szCs w:val="24"/>
        </w:rPr>
        <w:t>zasahujících</w:t>
      </w:r>
      <w:r w:rsidR="00FE0B6A">
        <w:rPr>
          <w:rFonts w:ascii="Arial" w:eastAsia="Arial" w:hAnsi="Arial" w:cs="Arial"/>
          <w:sz w:val="24"/>
          <w:szCs w:val="24"/>
        </w:rPr>
        <w:t xml:space="preserve"> např. </w:t>
      </w:r>
      <w:r>
        <w:rPr>
          <w:rFonts w:ascii="Arial" w:eastAsia="Arial" w:hAnsi="Arial" w:cs="Arial"/>
          <w:sz w:val="24"/>
          <w:szCs w:val="24"/>
        </w:rPr>
        <w:t>při dopravní nehodě, kdy byl převážen zdroj záření, používaný například pro zjišťování vad výrobků bez je</w:t>
      </w:r>
      <w:r w:rsidR="00FE0B6A">
        <w:rPr>
          <w:rFonts w:ascii="Arial" w:eastAsia="Arial" w:hAnsi="Arial" w:cs="Arial"/>
          <w:sz w:val="24"/>
          <w:szCs w:val="24"/>
        </w:rPr>
        <w:t>jich</w:t>
      </w:r>
      <w:r>
        <w:rPr>
          <w:rFonts w:ascii="Arial" w:eastAsia="Arial" w:hAnsi="Arial" w:cs="Arial"/>
          <w:sz w:val="24"/>
          <w:szCs w:val="24"/>
        </w:rPr>
        <w:t xml:space="preserve"> poškození, nebo pracovníků celní správy, kte</w:t>
      </w:r>
      <w:r>
        <w:rPr>
          <w:rFonts w:ascii="Arial" w:eastAsia="Arial" w:hAnsi="Arial" w:cs="Arial"/>
          <w:sz w:val="24"/>
          <w:szCs w:val="24"/>
        </w:rPr>
        <w:t xml:space="preserve">ří se mohou při své práci setkat s nelegálním transferem radioaktivního materiálu. </w:t>
      </w:r>
    </w:p>
    <w:p w:rsidR="00285EFD" w:rsidRDefault="00285EFD">
      <w:pPr>
        <w:ind w:left="705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Hasič nebo celník může nosit dozimetr v kapse oděvu. Dozimetr přitom nevyžaduje žádnou údržbu. V případě události s podezřením na možné vystavení radiaci by dozimetr byl </w:t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deslán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laboratoře </w:t>
      </w:r>
      <w:proofErr w:type="gramStart"/>
      <w:r>
        <w:rPr>
          <w:rFonts w:ascii="Arial" w:eastAsia="Arial" w:hAnsi="Arial" w:cs="Arial"/>
          <w:sz w:val="24"/>
          <w:szCs w:val="24"/>
        </w:rPr>
        <w:t>SÚRO</w:t>
      </w:r>
      <w:proofErr w:type="gramEnd"/>
      <w:r>
        <w:rPr>
          <w:rFonts w:ascii="Arial" w:eastAsia="Arial" w:hAnsi="Arial" w:cs="Arial"/>
          <w:sz w:val="24"/>
          <w:szCs w:val="24"/>
        </w:rPr>
        <w:t>, a pokud ta zjistí, že k ozáření skutečně došlo, mohou být v závislosti na velikosti dávky přijata adekvátní opatření, například vyřazení pracovníka z  činnosti, která by mohla vést k dalšímu ozáření, případně u vysokých dávek k v</w:t>
      </w:r>
      <w:r>
        <w:rPr>
          <w:rFonts w:ascii="Arial" w:eastAsia="Arial" w:hAnsi="Arial" w:cs="Arial"/>
          <w:sz w:val="24"/>
          <w:szCs w:val="24"/>
        </w:rPr>
        <w:t>časnému poskytnutí potřebné lékařské péče. Ve speciálních odůvodněných případech může být dozimetr pracovníka vyhodnocován na pravidelné bázi.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color w:val="5B9BD5"/>
          <w:sz w:val="24"/>
          <w:szCs w:val="24"/>
        </w:rPr>
      </w:pPr>
    </w:p>
    <w:p w:rsidR="00285EFD" w:rsidRDefault="00971582">
      <w:pPr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Dozimetr může být eventuálně použit i pro měření dávky z externího ozáření ve strategicky vybraných prostorách, </w:t>
      </w:r>
      <w:r>
        <w:rPr>
          <w:rFonts w:ascii="Arial" w:eastAsia="Arial" w:hAnsi="Arial" w:cs="Arial"/>
          <w:sz w:val="24"/>
          <w:szCs w:val="24"/>
        </w:rPr>
        <w:t>kde se pohybuje velké množství osob a kde existuje eventuální riziko teroristického útoku (tedy tzv. měkké cíle). Z výsledku měření dozimetru lze usuzovat na úroveň radiace v prostorách, kde byl dozimetr umístěn.</w:t>
      </w:r>
    </w:p>
    <w:p w:rsidR="00285EFD" w:rsidRDefault="00285EFD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872E58" w:rsidRDefault="00872E5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285EFD" w:rsidRDefault="009715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Systém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JodDet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pro hromadné měření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radiojod</w:t>
      </w:r>
      <w:r>
        <w:rPr>
          <w:rFonts w:ascii="Arial" w:eastAsia="Arial" w:hAnsi="Arial" w:cs="Arial"/>
          <w:b/>
          <w:sz w:val="24"/>
          <w:szCs w:val="24"/>
        </w:rPr>
        <w:t>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ve štítné žláze</w:t>
      </w: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Vyvinutý velkokapacitní systém měření kontaminace štítné žlázy radioaktivním jodem </w:t>
      </w:r>
      <w:proofErr w:type="spellStart"/>
      <w:r>
        <w:rPr>
          <w:rFonts w:ascii="Arial" w:eastAsia="Arial" w:hAnsi="Arial" w:cs="Arial"/>
          <w:sz w:val="24"/>
          <w:szCs w:val="24"/>
        </w:rPr>
        <w:t>JodDet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dále zpřesňuje zjištěnou úroveň osobního ozáření lidí v případě havárie jaderného zařízení. </w:t>
      </w:r>
    </w:p>
    <w:p w:rsidR="00711F14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Studie provedené po havárii jaderného reaktoru v Černo</w:t>
      </w:r>
      <w:r>
        <w:rPr>
          <w:rFonts w:ascii="Arial" w:eastAsia="Arial" w:hAnsi="Arial" w:cs="Arial"/>
          <w:sz w:val="24"/>
          <w:szCs w:val="24"/>
        </w:rPr>
        <w:t>bylu v roce 1986 přesvědčivě prokázaly nárůst počtu případů rakoviny štítné žlázy u osob ozářených v útlém věku radioaktivním jodem ve významně kontaminovaných oblastech Běloruska, Ukrajiny a Ruské federace.</w:t>
      </w:r>
    </w:p>
    <w:p w:rsidR="00285EFD" w:rsidRDefault="00971582" w:rsidP="00711F14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Až dosud laboratoř </w:t>
      </w:r>
      <w:proofErr w:type="gramStart"/>
      <w:r>
        <w:rPr>
          <w:rFonts w:ascii="Arial" w:eastAsia="Arial" w:hAnsi="Arial" w:cs="Arial"/>
          <w:sz w:val="24"/>
          <w:szCs w:val="24"/>
        </w:rPr>
        <w:t>SÚRO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ani RMS </w:t>
      </w:r>
      <w:proofErr w:type="gramStart"/>
      <w:r>
        <w:rPr>
          <w:rFonts w:ascii="Arial" w:eastAsia="Arial" w:hAnsi="Arial" w:cs="Arial"/>
          <w:sz w:val="24"/>
          <w:szCs w:val="24"/>
        </w:rPr>
        <w:t>neměl</w:t>
      </w:r>
      <w:r w:rsidR="00EA3C79"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 dispoz</w:t>
      </w:r>
      <w:r>
        <w:rPr>
          <w:rFonts w:ascii="Arial" w:eastAsia="Arial" w:hAnsi="Arial" w:cs="Arial"/>
          <w:sz w:val="24"/>
          <w:szCs w:val="24"/>
        </w:rPr>
        <w:t xml:space="preserve">ici zařízení pro rychlé a rozsáhlé měření výskytu radioaktivního jodu ve štítné žláze. Nový systém </w:t>
      </w:r>
      <w:proofErr w:type="spellStart"/>
      <w:r>
        <w:rPr>
          <w:rFonts w:ascii="Arial" w:eastAsia="Arial" w:hAnsi="Arial" w:cs="Arial"/>
          <w:sz w:val="24"/>
          <w:szCs w:val="24"/>
        </w:rPr>
        <w:t>JodDet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ale</w:t>
      </w:r>
      <w:r>
        <w:rPr>
          <w:rFonts w:ascii="Arial" w:eastAsia="Arial" w:hAnsi="Arial" w:cs="Arial"/>
          <w:sz w:val="24"/>
          <w:szCs w:val="24"/>
        </w:rPr>
        <w:t xml:space="preserve"> nyní umožňuje otestovat asi sto lidí za hodinu, a okamžitě tak zjistit, zda a případně nakolik byli zasaženi radiací. </w:t>
      </w:r>
    </w:p>
    <w:p w:rsidR="00285EFD" w:rsidRDefault="00285EF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Systém je mobilní a jeho </w:t>
      </w:r>
      <w:r>
        <w:rPr>
          <w:rFonts w:ascii="Arial" w:eastAsia="Arial" w:hAnsi="Arial" w:cs="Arial"/>
          <w:sz w:val="24"/>
          <w:szCs w:val="24"/>
        </w:rPr>
        <w:t>nasazení se předpokládá právě v místech, kde je požadováno systematické či screeningové měření, či v místech soustředění osob, např. v evakuačních střediscích. Sloužil by také k měření zasahujících osob.</w:t>
      </w:r>
    </w:p>
    <w:p w:rsidR="00285EFD" w:rsidRDefault="00285EF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tyto projekty volně navazuje i řešení nového výzkum</w:t>
      </w:r>
      <w:r>
        <w:rPr>
          <w:rFonts w:ascii="Arial" w:eastAsia="Arial" w:hAnsi="Arial" w:cs="Arial"/>
          <w:sz w:val="24"/>
          <w:szCs w:val="24"/>
        </w:rPr>
        <w:t xml:space="preserve">ného </w:t>
      </w:r>
      <w:r>
        <w:rPr>
          <w:rFonts w:ascii="Arial" w:eastAsia="Arial" w:hAnsi="Arial" w:cs="Arial"/>
          <w:sz w:val="24"/>
          <w:szCs w:val="24"/>
        </w:rPr>
        <w:t>projektu: „Metodiky pro stanovení radiačních dávek osob v kontextu hrozby jaderného a radiologického terorismu“.</w:t>
      </w:r>
    </w:p>
    <w:p w:rsidR="00285EFD" w:rsidRDefault="00285EFD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285EFD" w:rsidRDefault="00971582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Podrobnější popisy jednotlivých projektů:</w:t>
      </w:r>
    </w:p>
    <w:p w:rsidR="007D0497" w:rsidRPr="007D0497" w:rsidRDefault="00971582" w:rsidP="007D0497">
      <w:pPr>
        <w:jc w:val="both"/>
        <w:rPr>
          <w:rFonts w:ascii="Arial" w:eastAsia="Arial" w:hAnsi="Arial" w:cs="Arial"/>
          <w:sz w:val="24"/>
          <w:szCs w:val="24"/>
        </w:rPr>
      </w:pPr>
      <w:r w:rsidRPr="007D0497">
        <w:rPr>
          <w:rFonts w:ascii="Arial" w:eastAsia="Arial" w:hAnsi="Arial" w:cs="Arial"/>
          <w:sz w:val="24"/>
          <w:szCs w:val="24"/>
        </w:rPr>
        <w:t>Příloh</w:t>
      </w:r>
      <w:r w:rsidRPr="007D0497">
        <w:rPr>
          <w:rFonts w:ascii="Arial" w:eastAsia="Arial" w:hAnsi="Arial" w:cs="Arial"/>
          <w:sz w:val="24"/>
          <w:szCs w:val="24"/>
        </w:rPr>
        <w:t>a 1:</w:t>
      </w:r>
      <w:r w:rsidR="007D0497" w:rsidRPr="007D0497">
        <w:rPr>
          <w:rFonts w:ascii="Arial" w:eastAsia="Arial" w:hAnsi="Arial" w:cs="Arial"/>
          <w:sz w:val="24"/>
          <w:szCs w:val="24"/>
        </w:rPr>
        <w:t xml:space="preserve"> </w:t>
      </w:r>
      <w:r w:rsidR="007D0497" w:rsidRPr="007D0497">
        <w:rPr>
          <w:rFonts w:ascii="Arial" w:eastAsia="Arial" w:hAnsi="Arial" w:cs="Arial"/>
          <w:sz w:val="24"/>
          <w:szCs w:val="24"/>
        </w:rPr>
        <w:t xml:space="preserve">Projekt RAMESIS: Občanská radiační měřicí síť určená pro občany, školy, </w:t>
      </w:r>
      <w:r w:rsidR="004C681A">
        <w:rPr>
          <w:rFonts w:ascii="Arial" w:eastAsia="Arial" w:hAnsi="Arial" w:cs="Arial"/>
          <w:sz w:val="24"/>
          <w:szCs w:val="24"/>
        </w:rPr>
        <w:br/>
        <w:t xml:space="preserve">                 </w:t>
      </w:r>
      <w:r w:rsidR="007D0497" w:rsidRPr="007D0497">
        <w:rPr>
          <w:rFonts w:ascii="Arial" w:eastAsia="Arial" w:hAnsi="Arial" w:cs="Arial"/>
          <w:sz w:val="24"/>
          <w:szCs w:val="24"/>
        </w:rPr>
        <w:t>a další instituce k zajištění včasné informovanosti a bezpečnosti občanů</w:t>
      </w:r>
    </w:p>
    <w:p w:rsidR="00285EFD" w:rsidRPr="007D0497" w:rsidRDefault="00285EFD" w:rsidP="007D04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D0497" w:rsidRPr="007D0497" w:rsidRDefault="00971582" w:rsidP="007D0497">
      <w:pPr>
        <w:spacing w:line="360" w:lineRule="auto"/>
        <w:jc w:val="both"/>
        <w:rPr>
          <w:sz w:val="24"/>
          <w:szCs w:val="24"/>
        </w:rPr>
      </w:pPr>
      <w:r w:rsidRPr="007D0497">
        <w:rPr>
          <w:rFonts w:ascii="Arial" w:eastAsia="Arial" w:hAnsi="Arial" w:cs="Arial"/>
          <w:sz w:val="24"/>
          <w:szCs w:val="24"/>
        </w:rPr>
        <w:t>Příloha 2:</w:t>
      </w:r>
      <w:r w:rsidR="007D0497" w:rsidRPr="007D0497">
        <w:rPr>
          <w:rFonts w:ascii="Arial" w:eastAsia="Arial" w:hAnsi="Arial" w:cs="Arial"/>
          <w:sz w:val="24"/>
          <w:szCs w:val="24"/>
        </w:rPr>
        <w:t xml:space="preserve"> </w:t>
      </w:r>
      <w:r w:rsidR="007D0497" w:rsidRPr="007D0497">
        <w:rPr>
          <w:rFonts w:ascii="Arial" w:eastAsia="Arial" w:hAnsi="Arial" w:cs="Arial"/>
          <w:sz w:val="24"/>
          <w:szCs w:val="24"/>
        </w:rPr>
        <w:t>Nízkonákladový pasivní dozimetr pro hodnocení externího ozáření osob</w:t>
      </w:r>
    </w:p>
    <w:p w:rsidR="00285EFD" w:rsidRPr="007D0497" w:rsidRDefault="00285EFD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285EFD" w:rsidRPr="007D0497" w:rsidRDefault="00971582" w:rsidP="007D04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0497">
        <w:rPr>
          <w:rFonts w:ascii="Arial" w:eastAsia="Arial" w:hAnsi="Arial" w:cs="Arial"/>
          <w:sz w:val="24"/>
          <w:szCs w:val="24"/>
        </w:rPr>
        <w:t>Příloha 3:</w:t>
      </w:r>
      <w:r w:rsidR="007D0497" w:rsidRPr="007D0497">
        <w:rPr>
          <w:rFonts w:ascii="Arial" w:eastAsia="Arial" w:hAnsi="Arial" w:cs="Arial"/>
          <w:sz w:val="24"/>
          <w:szCs w:val="24"/>
        </w:rPr>
        <w:t xml:space="preserve"> </w:t>
      </w:r>
      <w:r w:rsidR="007D0497" w:rsidRPr="007D0497">
        <w:rPr>
          <w:rFonts w:ascii="Arial" w:eastAsia="Arial" w:hAnsi="Arial" w:cs="Arial"/>
          <w:sz w:val="24"/>
          <w:szCs w:val="24"/>
        </w:rPr>
        <w:t xml:space="preserve">Systém </w:t>
      </w:r>
      <w:proofErr w:type="spellStart"/>
      <w:r w:rsidR="007D0497" w:rsidRPr="007D0497">
        <w:rPr>
          <w:rFonts w:ascii="Arial" w:eastAsia="Arial" w:hAnsi="Arial" w:cs="Arial"/>
          <w:sz w:val="24"/>
          <w:szCs w:val="24"/>
        </w:rPr>
        <w:t>JodDet</w:t>
      </w:r>
      <w:proofErr w:type="spellEnd"/>
      <w:r w:rsidR="007D0497" w:rsidRPr="007D0497">
        <w:rPr>
          <w:rFonts w:ascii="Arial" w:eastAsia="Arial" w:hAnsi="Arial" w:cs="Arial"/>
          <w:sz w:val="24"/>
          <w:szCs w:val="24"/>
        </w:rPr>
        <w:t xml:space="preserve"> pro hromadné měření </w:t>
      </w:r>
      <w:proofErr w:type="spellStart"/>
      <w:r w:rsidR="007D0497" w:rsidRPr="007D0497">
        <w:rPr>
          <w:rFonts w:ascii="Arial" w:eastAsia="Arial" w:hAnsi="Arial" w:cs="Arial"/>
          <w:sz w:val="24"/>
          <w:szCs w:val="24"/>
        </w:rPr>
        <w:t>radiojodu</w:t>
      </w:r>
      <w:proofErr w:type="spellEnd"/>
      <w:r w:rsidR="007D0497" w:rsidRPr="007D0497">
        <w:rPr>
          <w:rFonts w:ascii="Arial" w:eastAsia="Arial" w:hAnsi="Arial" w:cs="Arial"/>
          <w:sz w:val="24"/>
          <w:szCs w:val="24"/>
        </w:rPr>
        <w:t xml:space="preserve"> ve štítné žláze</w:t>
      </w:r>
    </w:p>
    <w:p w:rsidR="00285EFD" w:rsidRDefault="00285E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94587" w:rsidRDefault="00971582" w:rsidP="004C681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Fotografie a schémata v tiskové kvalitě </w:t>
      </w:r>
      <w:proofErr w:type="gramStart"/>
      <w:r>
        <w:rPr>
          <w:rFonts w:ascii="Arial" w:eastAsia="Arial" w:hAnsi="Arial" w:cs="Arial"/>
          <w:sz w:val="24"/>
          <w:szCs w:val="24"/>
        </w:rPr>
        <w:t>najdete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ke stažení na webu </w:t>
      </w:r>
      <w:proofErr w:type="gramStart"/>
      <w:r w:rsidR="00994587">
        <w:rPr>
          <w:rFonts w:ascii="Arial" w:eastAsia="Arial" w:hAnsi="Arial" w:cs="Arial"/>
          <w:sz w:val="24"/>
          <w:szCs w:val="24"/>
        </w:rPr>
        <w:t>SÚRO</w:t>
      </w:r>
      <w:proofErr w:type="gramEnd"/>
      <w:r w:rsidR="00994587">
        <w:rPr>
          <w:rFonts w:ascii="Arial" w:eastAsia="Arial" w:hAnsi="Arial" w:cs="Arial"/>
          <w:sz w:val="24"/>
          <w:szCs w:val="24"/>
        </w:rPr>
        <w:t>:</w:t>
      </w:r>
    </w:p>
    <w:p w:rsidR="00285EFD" w:rsidRPr="00A910B8" w:rsidRDefault="00994587" w:rsidP="004C681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 w:history="1">
        <w:r w:rsidRPr="00A910B8">
          <w:rPr>
            <w:rStyle w:val="Hypertextovodkaz"/>
            <w:rFonts w:ascii="Arial" w:hAnsi="Arial" w:cs="Arial"/>
            <w:sz w:val="24"/>
            <w:szCs w:val="24"/>
          </w:rPr>
          <w:t>http://www.suro.cz/pub/Tiskova_zprava_2017.docx</w:t>
        </w:r>
      </w:hyperlink>
      <w:r w:rsidRPr="00A910B8">
        <w:rPr>
          <w:rFonts w:ascii="Arial" w:hAnsi="Arial" w:cs="Arial"/>
          <w:sz w:val="24"/>
          <w:szCs w:val="24"/>
        </w:rPr>
        <w:t xml:space="preserve"> </w:t>
      </w:r>
      <w:r w:rsidRPr="00A910B8">
        <w:rPr>
          <w:rFonts w:ascii="Arial" w:hAnsi="Arial" w:cs="Arial"/>
          <w:sz w:val="24"/>
          <w:szCs w:val="24"/>
        </w:rPr>
        <w:br/>
      </w:r>
      <w:hyperlink r:id="rId11" w:history="1">
        <w:r w:rsidRPr="00A910B8">
          <w:rPr>
            <w:rStyle w:val="Hypertextovodkaz"/>
            <w:rFonts w:ascii="Arial" w:hAnsi="Arial" w:cs="Arial"/>
            <w:sz w:val="24"/>
            <w:szCs w:val="24"/>
          </w:rPr>
          <w:t>http://www.suro.cz/pub/Tiskova_zprava_2017_prilohy.zip</w:t>
        </w:r>
      </w:hyperlink>
    </w:p>
    <w:sectPr w:rsidR="00285EFD" w:rsidRPr="00A910B8">
      <w:headerReference w:type="even" r:id="rId12"/>
      <w:headerReference w:type="default" r:id="rId13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82" w:rsidRDefault="00971582">
      <w:r>
        <w:separator/>
      </w:r>
    </w:p>
  </w:endnote>
  <w:endnote w:type="continuationSeparator" w:id="0">
    <w:p w:rsidR="00971582" w:rsidRDefault="009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82" w:rsidRDefault="00971582">
      <w:r>
        <w:separator/>
      </w:r>
    </w:p>
  </w:footnote>
  <w:footnote w:type="continuationSeparator" w:id="0">
    <w:p w:rsidR="00971582" w:rsidRDefault="0097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FD" w:rsidRDefault="00971582">
    <w:pPr>
      <w:tabs>
        <w:tab w:val="center" w:pos="4536"/>
        <w:tab w:val="right" w:pos="9072"/>
      </w:tabs>
      <w:spacing w:before="708"/>
      <w:jc w:val="right"/>
    </w:pPr>
    <w:r>
      <w:fldChar w:fldCharType="begin"/>
    </w:r>
    <w:r>
      <w:instrText>PAGE</w:instrText>
    </w:r>
    <w:r>
      <w:fldChar w:fldCharType="end"/>
    </w:r>
  </w:p>
  <w:p w:rsidR="00285EFD" w:rsidRDefault="00285EFD">
    <w:pPr>
      <w:tabs>
        <w:tab w:val="center" w:pos="4536"/>
        <w:tab w:val="right" w:pos="9072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FD" w:rsidRDefault="00285EFD">
    <w:pPr>
      <w:tabs>
        <w:tab w:val="center" w:pos="4536"/>
        <w:tab w:val="right" w:pos="9072"/>
      </w:tabs>
      <w:spacing w:before="70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C45"/>
    <w:multiLevelType w:val="multilevel"/>
    <w:tmpl w:val="61C05E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11342F0"/>
    <w:multiLevelType w:val="multilevel"/>
    <w:tmpl w:val="864C98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EFD"/>
    <w:rsid w:val="00285EFD"/>
    <w:rsid w:val="00483769"/>
    <w:rsid w:val="004C681A"/>
    <w:rsid w:val="00655A91"/>
    <w:rsid w:val="00711F14"/>
    <w:rsid w:val="007403B6"/>
    <w:rsid w:val="007D0497"/>
    <w:rsid w:val="00872E58"/>
    <w:rsid w:val="008D4971"/>
    <w:rsid w:val="00971582"/>
    <w:rsid w:val="00994587"/>
    <w:rsid w:val="00A910B8"/>
    <w:rsid w:val="00E746F4"/>
    <w:rsid w:val="00E94A6D"/>
    <w:rsid w:val="00EA3C79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4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4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jb.cz/aplikace/monras/?lng=cs_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ro.cz/pub/Tiskova_zprava_2017_prilohy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ro.cz/pub/Tiskova_zprava_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o.cz/cz/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SURO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Kuča</dc:creator>
  <cp:lastModifiedBy>Petr Kuča</cp:lastModifiedBy>
  <cp:revision>2</cp:revision>
  <dcterms:created xsi:type="dcterms:W3CDTF">2017-08-16T07:01:00Z</dcterms:created>
  <dcterms:modified xsi:type="dcterms:W3CDTF">2017-08-16T07:01:00Z</dcterms:modified>
</cp:coreProperties>
</file>